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25" w:rsidRDefault="00382D25" w:rsidP="00382D25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7C3EC" wp14:editId="3CD3F77F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839075" cy="1400175"/>
                <wp:effectExtent l="0" t="0" r="9525" b="952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400175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D25" w:rsidRPr="00CA702A" w:rsidRDefault="00382D25" w:rsidP="00382D2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ADMINISTERING THE NACCHO QI SELF-ASSESSMENT TOOL: GROUP FACILIATION</w:t>
                            </w:r>
                          </w:p>
                          <w:p w:rsidR="00382D25" w:rsidRPr="00CA702A" w:rsidRDefault="00382D25" w:rsidP="00382D2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Sample Agenda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7C3EC" id="Rectangle 40" o:spid="_x0000_s1026" style="position:absolute;margin-left:0;margin-top:-1in;width:617.25pt;height:110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" fillcolor="#066" stroked="f" strokeweight="1pt">
                <v:textbox>
                  <w:txbxContent>
                    <w:p w:rsidR="00382D25" w:rsidRPr="00CA702A" w:rsidRDefault="00382D25" w:rsidP="00382D25">
                      <w:pPr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ADMINISTERING THE NACCHO QI SELF-ASSESSMENT TOOL: GROUP FACILIATION</w:t>
                      </w:r>
                    </w:p>
                    <w:p w:rsidR="00382D25" w:rsidRPr="00CA702A" w:rsidRDefault="00382D25" w:rsidP="00382D25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32"/>
                          <w:szCs w:val="32"/>
                        </w:rPr>
                        <w:t xml:space="preserve">Sample Agenda </w:t>
                      </w:r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82D25" w:rsidRDefault="00382D25" w:rsidP="00382D25">
      <w:pPr>
        <w:rPr>
          <w:i/>
        </w:rPr>
      </w:pPr>
    </w:p>
    <w:p w:rsidR="00382D25" w:rsidRPr="00232C29" w:rsidRDefault="00382D25" w:rsidP="00382D25">
      <w:pPr>
        <w:rPr>
          <w:i/>
        </w:rPr>
      </w:pPr>
      <w:r w:rsidRPr="00232C29">
        <w:rPr>
          <w:i/>
        </w:rPr>
        <w:t xml:space="preserve">Facilitator Instructions: This sample agenda assumes assessment of all 20 sub-elements of the NACCHO QI SAT, allotting 20 minutes per sub-element. Tailor the agenda based on the version of the SAT being used and the agency’s assessment and scoring process. </w:t>
      </w:r>
    </w:p>
    <w:p w:rsidR="00382D25" w:rsidRPr="00275918" w:rsidRDefault="00382D25" w:rsidP="00382D25">
      <w:pPr>
        <w:rPr>
          <w:b/>
        </w:rPr>
      </w:pPr>
      <w:r w:rsidRPr="00275918">
        <w:rPr>
          <w:b/>
        </w:rPr>
        <w:t>OBJECTIVES</w:t>
      </w:r>
    </w:p>
    <w:p w:rsidR="00382D25" w:rsidRDefault="00382D25" w:rsidP="00382D25">
      <w:pPr>
        <w:pStyle w:val="ListParagraph"/>
        <w:numPr>
          <w:ilvl w:val="0"/>
          <w:numId w:val="1"/>
        </w:numPr>
      </w:pPr>
      <w:r>
        <w:t>Orient assessment respondents to the NACCHO QI SAT</w:t>
      </w:r>
    </w:p>
    <w:p w:rsidR="00382D25" w:rsidRDefault="00382D25" w:rsidP="00382D25">
      <w:pPr>
        <w:pStyle w:val="ListParagraph"/>
        <w:numPr>
          <w:ilvl w:val="0"/>
          <w:numId w:val="1"/>
        </w:numPr>
      </w:pPr>
      <w:r>
        <w:t>Develop shared understanding of agency’s current state of QI across the six foundational elements</w:t>
      </w:r>
    </w:p>
    <w:p w:rsidR="00382D25" w:rsidRDefault="00382D25" w:rsidP="00382D25">
      <w:pPr>
        <w:pStyle w:val="ListParagraph"/>
        <w:numPr>
          <w:ilvl w:val="0"/>
          <w:numId w:val="1"/>
        </w:numPr>
      </w:pPr>
      <w:r>
        <w:t>Submit ratings for diagnostic statements in the NACCHO QI SAT</w:t>
      </w:r>
    </w:p>
    <w:p w:rsidR="00382D25" w:rsidRPr="00232C29" w:rsidRDefault="00382D25" w:rsidP="00382D25">
      <w:pPr>
        <w:pStyle w:val="ListParagraph"/>
        <w:numPr>
          <w:ilvl w:val="0"/>
          <w:numId w:val="1"/>
        </w:numPr>
      </w:pPr>
      <w:r>
        <w:t xml:space="preserve">Reach consensus on agency scores across six foundational elements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5044"/>
        <w:gridCol w:w="1198"/>
      </w:tblGrid>
      <w:tr w:rsidR="00382D25" w:rsidTr="00ED78DD">
        <w:tc>
          <w:tcPr>
            <w:tcW w:w="3325" w:type="dxa"/>
            <w:shd w:val="clear" w:color="auto" w:fill="002060"/>
          </w:tcPr>
          <w:p w:rsidR="00382D25" w:rsidRPr="006B07AE" w:rsidRDefault="00382D25" w:rsidP="00ED78DD">
            <w:pPr>
              <w:jc w:val="center"/>
              <w:rPr>
                <w:b/>
                <w:sz w:val="28"/>
                <w:szCs w:val="28"/>
              </w:rPr>
            </w:pPr>
            <w:r w:rsidRPr="006B07AE">
              <w:rPr>
                <w:b/>
                <w:sz w:val="28"/>
                <w:szCs w:val="28"/>
              </w:rPr>
              <w:t>Agenda Item</w:t>
            </w:r>
          </w:p>
        </w:tc>
        <w:tc>
          <w:tcPr>
            <w:tcW w:w="5490" w:type="dxa"/>
            <w:shd w:val="clear" w:color="auto" w:fill="002060"/>
          </w:tcPr>
          <w:p w:rsidR="00382D25" w:rsidRPr="006B07AE" w:rsidRDefault="00382D25" w:rsidP="00ED78DD">
            <w:pPr>
              <w:jc w:val="center"/>
              <w:rPr>
                <w:b/>
                <w:sz w:val="28"/>
                <w:szCs w:val="28"/>
              </w:rPr>
            </w:pPr>
            <w:r w:rsidRPr="006B07AE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255" w:type="dxa"/>
            <w:shd w:val="clear" w:color="auto" w:fill="002060"/>
          </w:tcPr>
          <w:p w:rsidR="00382D25" w:rsidRPr="006B07AE" w:rsidRDefault="00382D25" w:rsidP="00ED78DD">
            <w:pPr>
              <w:jc w:val="center"/>
              <w:rPr>
                <w:b/>
                <w:sz w:val="28"/>
                <w:szCs w:val="28"/>
              </w:rPr>
            </w:pPr>
            <w:r w:rsidRPr="006B07AE">
              <w:rPr>
                <w:b/>
                <w:sz w:val="28"/>
                <w:szCs w:val="28"/>
              </w:rPr>
              <w:t>Time</w:t>
            </w:r>
          </w:p>
        </w:tc>
      </w:tr>
      <w:tr w:rsidR="00382D25" w:rsidTr="00ED78DD">
        <w:tc>
          <w:tcPr>
            <w:tcW w:w="10070" w:type="dxa"/>
            <w:gridSpan w:val="3"/>
            <w:shd w:val="clear" w:color="auto" w:fill="C5E0B3" w:themeFill="accent6" w:themeFillTint="66"/>
          </w:tcPr>
          <w:p w:rsidR="00382D25" w:rsidRDefault="00382D25" w:rsidP="00ED78DD">
            <w:pPr>
              <w:jc w:val="center"/>
              <w:rPr>
                <w:b/>
              </w:rPr>
            </w:pPr>
            <w:r>
              <w:rPr>
                <w:b/>
              </w:rPr>
              <w:t>INTRODUCTION &amp; OVERVIEW</w:t>
            </w:r>
          </w:p>
          <w:p w:rsidR="00382D25" w:rsidRPr="006B07AE" w:rsidRDefault="00382D25" w:rsidP="00ED78DD">
            <w:pPr>
              <w:jc w:val="center"/>
              <w:rPr>
                <w:b/>
                <w:i/>
              </w:rPr>
            </w:pPr>
            <w:r w:rsidRPr="006B07AE">
              <w:rPr>
                <w:b/>
                <w:i/>
              </w:rPr>
              <w:t>(Total Time: 25 mins)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Overview of QI vision </w:t>
            </w:r>
          </w:p>
        </w:tc>
        <w:tc>
          <w:tcPr>
            <w:tcW w:w="5490" w:type="dxa"/>
          </w:tcPr>
          <w:p w:rsidR="00382D25" w:rsidRPr="00FB4CB9" w:rsidRDefault="00382D25" w:rsidP="00382D2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FB4CB9">
              <w:t xml:space="preserve">Agency vision for QI </w:t>
            </w:r>
          </w:p>
          <w:p w:rsidR="00382D25" w:rsidRPr="00FB4CB9" w:rsidRDefault="00382D25" w:rsidP="00382D2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FB4CB9">
              <w:t xml:space="preserve">Current state of QI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10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Overview of Self-Assessment Process</w:t>
            </w:r>
          </w:p>
        </w:tc>
        <w:tc>
          <w:tcPr>
            <w:tcW w:w="5490" w:type="dxa"/>
          </w:tcPr>
          <w:p w:rsidR="00382D25" w:rsidRPr="00FB4CB9" w:rsidRDefault="00382D25" w:rsidP="00382D2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B4CB9">
              <w:t>Steps in assessment process</w:t>
            </w:r>
          </w:p>
          <w:p w:rsidR="00382D25" w:rsidRPr="00FB4CB9" w:rsidRDefault="00382D25" w:rsidP="00382D2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B4CB9">
              <w:t xml:space="preserve">Overview of the SAT </w:t>
            </w:r>
          </w:p>
          <w:p w:rsidR="00382D25" w:rsidRPr="00FB4CB9" w:rsidRDefault="00382D25" w:rsidP="00382D2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B4CB9">
              <w:t xml:space="preserve">Scoring methods </w:t>
            </w:r>
          </w:p>
          <w:p w:rsidR="00382D25" w:rsidRPr="00FB4CB9" w:rsidRDefault="00382D25" w:rsidP="00382D2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B4CB9">
              <w:t>Participant expectations</w:t>
            </w:r>
          </w:p>
          <w:p w:rsidR="00382D25" w:rsidRPr="00FB4CB9" w:rsidRDefault="00382D25" w:rsidP="00382D2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B4CB9">
              <w:t>Ground rules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15 mins</w:t>
            </w:r>
          </w:p>
        </w:tc>
      </w:tr>
      <w:tr w:rsidR="00382D25" w:rsidTr="00ED78DD">
        <w:tc>
          <w:tcPr>
            <w:tcW w:w="10070" w:type="dxa"/>
            <w:gridSpan w:val="3"/>
            <w:shd w:val="clear" w:color="auto" w:fill="C5E0B3" w:themeFill="accent6" w:themeFillTint="66"/>
          </w:tcPr>
          <w:p w:rsidR="00382D25" w:rsidRDefault="00382D25" w:rsidP="00ED78DD">
            <w:pPr>
              <w:jc w:val="center"/>
              <w:rPr>
                <w:b/>
              </w:rPr>
            </w:pPr>
            <w:r>
              <w:rPr>
                <w:b/>
              </w:rPr>
              <w:t>ASSESSMENT &amp; SCORING</w:t>
            </w:r>
          </w:p>
          <w:p w:rsidR="00382D25" w:rsidRDefault="00382D25" w:rsidP="00ED78DD">
            <w:pPr>
              <w:jc w:val="center"/>
              <w:rPr>
                <w:b/>
                <w:i/>
              </w:rPr>
            </w:pPr>
            <w:r w:rsidRPr="006B07AE">
              <w:rPr>
                <w:b/>
                <w:i/>
              </w:rPr>
              <w:t>(Total Time: ~6.5 hours)</w:t>
            </w:r>
          </w:p>
          <w:p w:rsidR="00382D25" w:rsidRDefault="00382D25" w:rsidP="00ED78DD">
            <w:r>
              <w:t xml:space="preserve">For Sub-Element, the following objectives will be met: </w:t>
            </w:r>
          </w:p>
          <w:p w:rsidR="00382D25" w:rsidRDefault="00382D25" w:rsidP="00382D2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Provide an overview of the sub-element</w:t>
            </w:r>
          </w:p>
          <w:p w:rsidR="00382D25" w:rsidRDefault="00382D25" w:rsidP="00382D2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Participants discuss agency’s current status of that sub-element </w:t>
            </w:r>
          </w:p>
          <w:p w:rsidR="00382D25" w:rsidRPr="006B07AE" w:rsidRDefault="00382D25" w:rsidP="00382D2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Participants score the sub-elements </w:t>
            </w:r>
          </w:p>
        </w:tc>
      </w:tr>
      <w:tr w:rsidR="00382D25" w:rsidTr="00ED78DD">
        <w:tc>
          <w:tcPr>
            <w:tcW w:w="10070" w:type="dxa"/>
            <w:gridSpan w:val="3"/>
            <w:shd w:val="clear" w:color="auto" w:fill="FBE4D5" w:themeFill="accent2" w:themeFillTint="33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Foundational Element 1: Employee Empowerment                                                                                     40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1.1: Enabling Performance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of how well agency enables employees to use QI and achieve high performance 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Sub-Element 1.2: Knowledge, Skills and Abilities (KSAs)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of public health and QI knowledge, skills, and abilities 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10070" w:type="dxa"/>
            <w:gridSpan w:val="3"/>
            <w:shd w:val="clear" w:color="auto" w:fill="FBE4D5" w:themeFill="accent2" w:themeFillTint="33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Foundational Element 2: Teamwork &amp; Collaboration                                                                                  40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2.1: Team Performance 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of how well agency teams function and perform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2.2: Learning Communities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</w:t>
            </w:r>
            <w:r w:rsidRPr="00B967B9">
              <w:t xml:space="preserve">of </w:t>
            </w:r>
            <w:r>
              <w:t xml:space="preserve">opportunities for learning and sharing the agency 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10070" w:type="dxa"/>
            <w:gridSpan w:val="3"/>
            <w:shd w:val="clear" w:color="auto" w:fill="FBE4D5" w:themeFill="accent2" w:themeFillTint="33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Foundational Element 3: Leadership                                                                                                                 40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Sub-Element 3.1: Culture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of the established environment to support a QI culture 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Sub-Element 3.2: Resourcing &amp; Structure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of resources and structure to support a QI culture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10070" w:type="dxa"/>
            <w:gridSpan w:val="3"/>
            <w:shd w:val="clear" w:color="auto" w:fill="FBE4D5" w:themeFill="accent2" w:themeFillTint="33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Foundational Element 4: Customer Focus                                                                                                       60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4.1: Understanding the Customer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of how well the agency understands customer needs, values, and satisfaction 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Sub-Element 4.2: Satisfying the Customer through the Value Stream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Assessment of how well the agency uses customer data to satisfy the customer through value streams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4.3: Reprioritizing and Creating Programs and Services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Assessment of process for reprioritizing and creating new programs and services to address customer needs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10070" w:type="dxa"/>
            <w:gridSpan w:val="3"/>
            <w:shd w:val="clear" w:color="auto" w:fill="FBE4D5" w:themeFill="accent2" w:themeFillTint="33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Foundational Element 5: Quality Improvement Infrastructure                                                                  80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5.1: Strategic Planning 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Assessment of the agency strategic planning process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20 mins 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Sub-Element 5.2: Performance Measurement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Assessment of agency performance measurement process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5.3: Annual QI Planning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Assessment of agency QI planning process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r>
              <w:rPr>
                <w:b/>
              </w:rPr>
              <w:t>20 mins</w:t>
            </w:r>
            <w:r w:rsidRPr="00E17A8F">
              <w:rPr>
                <w:b/>
              </w:rPr>
              <w:t xml:space="preserve"> 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5.4: Administrative and Functional Processes and Systems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Assessment of how well agency administrative processes and systems support continuous improvement</w:t>
            </w:r>
          </w:p>
        </w:tc>
        <w:tc>
          <w:tcPr>
            <w:tcW w:w="1255" w:type="dxa"/>
          </w:tcPr>
          <w:p w:rsidR="00382D25" w:rsidRDefault="00382D25" w:rsidP="00ED78DD"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10070" w:type="dxa"/>
            <w:gridSpan w:val="3"/>
            <w:shd w:val="clear" w:color="auto" w:fill="FBE4D5" w:themeFill="accent2" w:themeFillTint="33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Foundational Element 6: Continuous Process Improvement                                                                      120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6.1: Selecting &amp; Applying Methods  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Assessment of agency capacity to select and apply appropriate QI methods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6.2: Planning for Process Improvements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of how well agency plans for improvements of QI projects 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>20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6.3: Testing Potential Solutions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of how well agency tests potential solutions and acts on results in QI projects </w:t>
            </w:r>
            <w:r w:rsidRPr="00B967B9">
              <w:t xml:space="preserve"> </w:t>
            </w:r>
          </w:p>
        </w:tc>
        <w:tc>
          <w:tcPr>
            <w:tcW w:w="1255" w:type="dxa"/>
          </w:tcPr>
          <w:p w:rsidR="00382D25" w:rsidRDefault="00382D25" w:rsidP="00ED78DD">
            <w:r w:rsidRPr="00397AAD">
              <w:rPr>
                <w:b/>
              </w:rPr>
              <w:t>2</w:t>
            </w:r>
            <w:r>
              <w:rPr>
                <w:b/>
              </w:rPr>
              <w:t>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6.4: Extracting Lessons Learned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</w:t>
            </w:r>
            <w:r w:rsidRPr="00B967B9">
              <w:t xml:space="preserve">of </w:t>
            </w:r>
            <w:r>
              <w:t xml:space="preserve">how well agency identifies and applies lessons learned </w:t>
            </w:r>
          </w:p>
        </w:tc>
        <w:tc>
          <w:tcPr>
            <w:tcW w:w="1255" w:type="dxa"/>
          </w:tcPr>
          <w:p w:rsidR="00382D25" w:rsidRDefault="00382D25" w:rsidP="00ED78DD">
            <w:r w:rsidRPr="00397AAD">
              <w:rPr>
                <w:b/>
              </w:rPr>
              <w:t>2</w:t>
            </w:r>
            <w:r>
              <w:rPr>
                <w:b/>
              </w:rPr>
              <w:t>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6.5: Sharing of Best Practices 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</w:t>
            </w:r>
            <w:r w:rsidRPr="00B967B9">
              <w:t xml:space="preserve">of </w:t>
            </w:r>
            <w:r>
              <w:t xml:space="preserve">agency use of best practices </w:t>
            </w:r>
          </w:p>
        </w:tc>
        <w:tc>
          <w:tcPr>
            <w:tcW w:w="1255" w:type="dxa"/>
          </w:tcPr>
          <w:p w:rsidR="00382D25" w:rsidRDefault="00382D25" w:rsidP="00ED78DD">
            <w:r w:rsidRPr="00397AAD">
              <w:rPr>
                <w:b/>
              </w:rPr>
              <w:t>2</w:t>
            </w:r>
            <w:r>
              <w:rPr>
                <w:b/>
              </w:rPr>
              <w:t>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6.6: Effectively Installing Standardized Work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Assessment of standardized work processes</w:t>
            </w:r>
          </w:p>
        </w:tc>
        <w:tc>
          <w:tcPr>
            <w:tcW w:w="1255" w:type="dxa"/>
          </w:tcPr>
          <w:p w:rsidR="00382D25" w:rsidRDefault="00382D25" w:rsidP="00ED78DD">
            <w:r w:rsidRPr="00397AAD">
              <w:rPr>
                <w:b/>
              </w:rPr>
              <w:t>2</w:t>
            </w:r>
            <w:r>
              <w:rPr>
                <w:b/>
              </w:rPr>
              <w:t>0 mins</w:t>
            </w:r>
          </w:p>
        </w:tc>
      </w:tr>
      <w:tr w:rsidR="00382D25" w:rsidTr="00ED78DD">
        <w:tc>
          <w:tcPr>
            <w:tcW w:w="3325" w:type="dxa"/>
          </w:tcPr>
          <w:p w:rsidR="00382D25" w:rsidRDefault="00382D25" w:rsidP="00ED78DD">
            <w:pPr>
              <w:rPr>
                <w:b/>
              </w:rPr>
            </w:pPr>
            <w:r>
              <w:rPr>
                <w:b/>
              </w:rPr>
              <w:t xml:space="preserve">Sub-Element 6.7: Process Management, Results, &amp; Continual Improvement  </w:t>
            </w:r>
          </w:p>
        </w:tc>
        <w:tc>
          <w:tcPr>
            <w:tcW w:w="5490" w:type="dxa"/>
          </w:tcPr>
          <w:p w:rsidR="00382D25" w:rsidRPr="00B967B9" w:rsidRDefault="00382D25" w:rsidP="00382D2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Assessment </w:t>
            </w:r>
            <w:r w:rsidRPr="00B967B9">
              <w:t xml:space="preserve">of Process Management, Results, &amp; Continual Improvement  </w:t>
            </w:r>
          </w:p>
        </w:tc>
        <w:tc>
          <w:tcPr>
            <w:tcW w:w="1255" w:type="dxa"/>
          </w:tcPr>
          <w:p w:rsidR="00382D25" w:rsidRDefault="00382D25" w:rsidP="00ED78DD">
            <w:r w:rsidRPr="00397AAD">
              <w:rPr>
                <w:b/>
              </w:rPr>
              <w:t>2</w:t>
            </w:r>
            <w:r>
              <w:rPr>
                <w:b/>
              </w:rPr>
              <w:t>0 mins</w:t>
            </w:r>
            <w:r w:rsidRPr="00397AAD">
              <w:rPr>
                <w:b/>
              </w:rPr>
              <w:t xml:space="preserve"> </w:t>
            </w:r>
          </w:p>
        </w:tc>
      </w:tr>
      <w:tr w:rsidR="00382D25" w:rsidTr="00ED78DD">
        <w:trPr>
          <w:trHeight w:val="683"/>
        </w:trPr>
        <w:tc>
          <w:tcPr>
            <w:tcW w:w="10070" w:type="dxa"/>
            <w:gridSpan w:val="3"/>
            <w:shd w:val="clear" w:color="auto" w:fill="C5E0B3" w:themeFill="accent6" w:themeFillTint="66"/>
          </w:tcPr>
          <w:p w:rsidR="00382D25" w:rsidRDefault="00382D25" w:rsidP="00ED78DD">
            <w:pPr>
              <w:jc w:val="center"/>
              <w:rPr>
                <w:b/>
              </w:rPr>
            </w:pPr>
            <w:r>
              <w:rPr>
                <w:b/>
              </w:rPr>
              <w:t>IDENTIFY NEXT STEPS</w:t>
            </w:r>
          </w:p>
          <w:p w:rsidR="00382D25" w:rsidRDefault="00382D25" w:rsidP="00ED78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(Total Time: 10</w:t>
            </w:r>
            <w:r w:rsidRPr="00BD7463">
              <w:rPr>
                <w:b/>
                <w:i/>
              </w:rPr>
              <w:t xml:space="preserve"> mins)</w:t>
            </w:r>
          </w:p>
          <w:p w:rsidR="00382D25" w:rsidRPr="00672235" w:rsidRDefault="00382D25" w:rsidP="00ED78DD">
            <w:pPr>
              <w:rPr>
                <w:b/>
                <w:i/>
              </w:rPr>
            </w:pPr>
          </w:p>
        </w:tc>
      </w:tr>
    </w:tbl>
    <w:p w:rsidR="00636253" w:rsidRDefault="00382D25"/>
    <w:sectPr w:rsidR="00636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675CA"/>
    <w:multiLevelType w:val="hybridMultilevel"/>
    <w:tmpl w:val="E3085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A5CEE"/>
    <w:multiLevelType w:val="hybridMultilevel"/>
    <w:tmpl w:val="CEE2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A1ED3"/>
    <w:multiLevelType w:val="hybridMultilevel"/>
    <w:tmpl w:val="7DDCD946"/>
    <w:lvl w:ilvl="0" w:tplc="2DCA2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5B1B48"/>
    <w:multiLevelType w:val="hybridMultilevel"/>
    <w:tmpl w:val="EE1C2D9A"/>
    <w:lvl w:ilvl="0" w:tplc="2DCA2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96BBE"/>
    <w:multiLevelType w:val="hybridMultilevel"/>
    <w:tmpl w:val="6E8204FA"/>
    <w:lvl w:ilvl="0" w:tplc="2DCA2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25"/>
    <w:rsid w:val="00382D25"/>
    <w:rsid w:val="00AD2903"/>
    <w:rsid w:val="00E6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E9FD998-D516-4E35-8EC7-AC7CF3D2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D25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382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NACCHO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Verma</dc:creator>
  <cp:keywords/>
  <dc:description/>
  <cp:lastModifiedBy>Pooja Verma</cp:lastModifiedBy>
  <cp:revision>1</cp:revision>
  <dcterms:created xsi:type="dcterms:W3CDTF">2017-07-26T14:35:00Z</dcterms:created>
  <dcterms:modified xsi:type="dcterms:W3CDTF">2017-07-26T14:37:00Z</dcterms:modified>
</cp:coreProperties>
</file>